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2023年规范性文件报备一览表</w:t>
      </w:r>
    </w:p>
    <w:tbl>
      <w:tblPr>
        <w:tblStyle w:val="4"/>
        <w:tblpPr w:leftFromText="180" w:rightFromText="180" w:vertAnchor="text" w:horzAnchor="page" w:tblpX="1328" w:tblpY="441"/>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5282"/>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7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文 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类 别</w:t>
            </w:r>
          </w:p>
        </w:tc>
        <w:tc>
          <w:tcPr>
            <w:tcW w:w="52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文 件 名 称</w:t>
            </w:r>
          </w:p>
        </w:tc>
        <w:tc>
          <w:tcPr>
            <w:tcW w:w="317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vertAlign w:val="baseline"/>
                <w:lang w:val="en-US" w:eastAsia="zh-CN"/>
              </w:rPr>
            </w:pPr>
            <w:r>
              <w:rPr>
                <w:rFonts w:hint="eastAsia" w:ascii="黑体" w:hAnsi="黑体" w:eastAsia="黑体" w:cs="黑体"/>
                <w:sz w:val="32"/>
                <w:szCs w:val="32"/>
                <w:highlight w:val="none"/>
                <w:vertAlign w:val="baseline"/>
                <w:lang w:val="en-US" w:eastAsia="zh-CN"/>
              </w:rPr>
              <w:t>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市政府规范性文件</w:t>
            </w:r>
          </w:p>
        </w:tc>
        <w:tc>
          <w:tcPr>
            <w:tcW w:w="52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1.《白银市物业管理办法》</w:t>
            </w:r>
          </w:p>
        </w:tc>
        <w:tc>
          <w:tcPr>
            <w:tcW w:w="3177" w:type="dxa"/>
            <w:noWrap w:val="0"/>
            <w:vAlign w:val="center"/>
          </w:tcPr>
          <w:p>
            <w:pPr>
              <w:spacing w:line="460" w:lineRule="exact"/>
              <w:jc w:val="center"/>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市政办发</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highlight w:val="green"/>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2.《白银市招商引资优惠政策三十条》</w:t>
            </w:r>
          </w:p>
        </w:tc>
        <w:tc>
          <w:tcPr>
            <w:tcW w:w="3177" w:type="dxa"/>
            <w:noWrap w:val="0"/>
            <w:vAlign w:val="center"/>
          </w:tcPr>
          <w:p>
            <w:pPr>
              <w:spacing w:line="460" w:lineRule="exact"/>
              <w:ind w:firstLine="280" w:firstLineChars="100"/>
              <w:jc w:val="both"/>
              <w:rPr>
                <w:rFonts w:hint="eastAsia" w:ascii="仿宋_GB2312" w:hAnsi="仿宋_GB2312" w:eastAsia="仿宋_GB2312" w:cs="仿宋_GB2312"/>
                <w:sz w:val="28"/>
                <w:szCs w:val="28"/>
                <w:highlight w:val="green"/>
                <w:vertAlign w:val="baseline"/>
                <w:lang w:val="en-US" w:eastAsia="zh-CN"/>
              </w:rPr>
            </w:pPr>
            <w:r>
              <w:rPr>
                <w:rFonts w:hint="eastAsia" w:ascii="仿宋_GB2312" w:eastAsia="仿宋_GB2312"/>
                <w:sz w:val="28"/>
                <w:szCs w:val="28"/>
                <w:lang w:val="en-US" w:eastAsia="zh-CN"/>
              </w:rPr>
              <w:t>市政发</w:t>
            </w:r>
            <w:r>
              <w:rPr>
                <w:rFonts w:hint="eastAsia" w:ascii="仿宋_GB2312" w:eastAsia="仿宋_GB2312"/>
                <w:sz w:val="28"/>
                <w:szCs w:val="28"/>
              </w:rPr>
              <w:t>〔202</w:t>
            </w:r>
            <w:bookmarkStart w:id="0" w:name="_GoBack"/>
            <w:bookmarkEnd w:id="0"/>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19</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highlight w:val="green"/>
                <w:vertAlign w:val="baseline"/>
                <w:lang w:val="en-US" w:eastAsia="zh-CN"/>
              </w:rPr>
            </w:pPr>
            <w:r>
              <w:rPr>
                <w:rFonts w:hint="eastAsia" w:ascii="仿宋_GB2312" w:hAnsi="仿宋_GB2312" w:eastAsia="仿宋_GB2312" w:cs="仿宋_GB2312"/>
                <w:sz w:val="28"/>
                <w:szCs w:val="28"/>
                <w:highlight w:val="none"/>
                <w:vertAlign w:val="baseline"/>
                <w:lang w:val="en-US" w:eastAsia="zh-CN"/>
              </w:rPr>
              <w:t>3.《白银市机动车停放服务收费管理办法》</w:t>
            </w:r>
          </w:p>
        </w:tc>
        <w:tc>
          <w:tcPr>
            <w:tcW w:w="3177" w:type="dxa"/>
            <w:noWrap w:val="0"/>
            <w:vAlign w:val="center"/>
          </w:tcPr>
          <w:p>
            <w:pPr>
              <w:spacing w:line="460" w:lineRule="exact"/>
              <w:jc w:val="center"/>
              <w:rPr>
                <w:rFonts w:hint="eastAsia" w:ascii="仿宋_GB2312" w:hAnsi="仿宋_GB2312" w:eastAsia="仿宋_GB2312" w:cs="仿宋_GB2312"/>
                <w:sz w:val="28"/>
                <w:szCs w:val="28"/>
                <w:highlight w:val="green"/>
                <w:vertAlign w:val="baseline"/>
                <w:lang w:val="en-US" w:eastAsia="zh-CN"/>
              </w:rPr>
            </w:pPr>
            <w:r>
              <w:rPr>
                <w:rFonts w:hint="eastAsia" w:ascii="仿宋_GB2312" w:eastAsia="仿宋_GB2312"/>
                <w:sz w:val="28"/>
                <w:szCs w:val="28"/>
                <w:lang w:val="en-US" w:eastAsia="zh-CN"/>
              </w:rPr>
              <w:t>市政办发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64</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4.《白银市小微企业互助贷款风险补偿担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highlight w:val="green"/>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保基金管理办法》</w:t>
            </w:r>
          </w:p>
        </w:tc>
        <w:tc>
          <w:tcPr>
            <w:tcW w:w="3177" w:type="dxa"/>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lang w:val="en-US" w:eastAsia="zh-CN"/>
              </w:rPr>
              <w:t>市政办发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84</w:t>
            </w:r>
            <w:r>
              <w:rPr>
                <w:rFonts w:hint="eastAsia" w:ascii="仿宋_GB2312" w:eastAsia="仿宋_GB2312"/>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highlight w:val="gree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highlight w:val="green"/>
                <w:vertAlign w:val="baseline"/>
                <w:lang w:val="en-US" w:eastAsia="zh-CN"/>
              </w:rPr>
            </w:pPr>
            <w:r>
              <w:rPr>
                <w:rFonts w:hint="eastAsia" w:ascii="仿宋_GB2312" w:hAnsi="仿宋_GB2312" w:eastAsia="仿宋_GB2312" w:cs="仿宋_GB2312"/>
                <w:sz w:val="28"/>
                <w:szCs w:val="28"/>
                <w:highlight w:val="none"/>
                <w:vertAlign w:val="baseline"/>
                <w:lang w:val="en-US" w:eastAsia="zh-CN"/>
              </w:rPr>
              <w:t>5.《白银市地方储备成品粮油管理办法》</w:t>
            </w:r>
          </w:p>
        </w:tc>
        <w:tc>
          <w:tcPr>
            <w:tcW w:w="3177" w:type="dxa"/>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lang w:val="en-US" w:eastAsia="zh-CN"/>
              </w:rPr>
              <w:t>市政办发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42</w:t>
            </w:r>
            <w:r>
              <w:rPr>
                <w:rFonts w:hint="eastAsia" w:ascii="仿宋_GB2312" w:eastAsia="仿宋_GB2312"/>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highlight w:val="gree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6.《白银市依法收费非法枪爆等物品严厉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highlight w:val="green"/>
                <w:vertAlign w:val="baseline"/>
                <w:lang w:val="en-US" w:eastAsia="zh-CN"/>
              </w:rPr>
            </w:pPr>
            <w:r>
              <w:rPr>
                <w:rFonts w:hint="eastAsia" w:ascii="仿宋_GB2312" w:hAnsi="仿宋_GB2312" w:eastAsia="仿宋_GB2312" w:cs="仿宋_GB2312"/>
                <w:sz w:val="28"/>
                <w:szCs w:val="28"/>
                <w:highlight w:val="none"/>
                <w:vertAlign w:val="baseline"/>
                <w:lang w:val="en-US" w:eastAsia="zh-CN"/>
              </w:rPr>
              <w:t>打击涉枪涉爆等违法犯罪通告》</w:t>
            </w:r>
          </w:p>
        </w:tc>
        <w:tc>
          <w:tcPr>
            <w:tcW w:w="3177" w:type="dxa"/>
            <w:noWrap w:val="0"/>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lang w:val="en-US" w:eastAsia="zh-CN"/>
              </w:rPr>
              <w:t>市政发</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26</w:t>
            </w:r>
            <w:r>
              <w:rPr>
                <w:rFonts w:hint="eastAsia" w:ascii="仿宋_GB2312" w:eastAsia="仿宋_GB2312"/>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highlight w:val="gree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highlight w:val="green"/>
                <w:vertAlign w:val="baseline"/>
                <w:lang w:val="en-US" w:eastAsia="zh-CN"/>
              </w:rPr>
            </w:pPr>
            <w:r>
              <w:rPr>
                <w:rFonts w:hint="eastAsia" w:ascii="仿宋_GB2312" w:hAnsi="仿宋_GB2312" w:eastAsia="仿宋_GB2312" w:cs="仿宋_GB2312"/>
                <w:b/>
                <w:bCs/>
                <w:sz w:val="32"/>
                <w:szCs w:val="32"/>
                <w:highlight w:val="none"/>
                <w:vertAlign w:val="baseline"/>
                <w:lang w:val="en-US" w:eastAsia="zh-CN"/>
              </w:rPr>
              <w:t>县 区规 范  性 文件</w:t>
            </w:r>
          </w:p>
        </w:tc>
        <w:tc>
          <w:tcPr>
            <w:tcW w:w="52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9.《白银市白银区人民代表大会常务委员会关于加强国有资产管理情况监督的决定》</w:t>
            </w:r>
          </w:p>
        </w:tc>
        <w:tc>
          <w:tcPr>
            <w:tcW w:w="31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白人大常备</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1</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10.《白银市白银区人民代表大会常务委员会关于依法加强物业管理工作的决定》</w:t>
            </w:r>
          </w:p>
        </w:tc>
        <w:tc>
          <w:tcPr>
            <w:tcW w:w="31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白人大常备</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2</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11.《白银市平川区人大常委会关于批准将高铁站站前广场及配套基础设施建设、现代综合物流园区基础设施提升、国家储备林建设工程等三个PPP项目缺口补助金额纳入政府中长期财政规划的决定》</w:t>
            </w:r>
          </w:p>
        </w:tc>
        <w:tc>
          <w:tcPr>
            <w:tcW w:w="31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平人大常备</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1</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12.《白银市平川区人民代表大会常务委员会关于加强国有资产管理情况监督的决定》</w:t>
            </w:r>
          </w:p>
        </w:tc>
        <w:tc>
          <w:tcPr>
            <w:tcW w:w="31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平人大常备</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green"/>
                <w:vertAlign w:val="baseline"/>
                <w:lang w:val="en-US" w:eastAsia="zh-CN"/>
              </w:rPr>
            </w:pPr>
          </w:p>
        </w:tc>
        <w:tc>
          <w:tcPr>
            <w:tcW w:w="52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13.《会宁县人民代表大会常务委员会关于加强国有资产管理情况监督的决定》</w:t>
            </w:r>
          </w:p>
        </w:tc>
        <w:tc>
          <w:tcPr>
            <w:tcW w:w="31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会人大常备</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val="en-US" w:eastAsia="zh-CN"/>
              </w:rPr>
              <w:t>1号</w:t>
            </w:r>
          </w:p>
        </w:tc>
      </w:tr>
    </w:tbl>
    <w:p>
      <w:pPr>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ZWM4ODU4YjNmZTNkNzEwYWYzYWNkM2YwZGEzM2IifQ=="/>
  </w:docVars>
  <w:rsids>
    <w:rsidRoot w:val="27D8105D"/>
    <w:rsid w:val="27D8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2024-03-21T09:53:00Z</dcterms:created>
  <dc:creator>yannis</dc:creator>
  <cp:lastModifiedBy>yannis</cp:lastModifiedBy>
  <dcterms:modified xsi:type="dcterms:W3CDTF">2024-03-21T09:53:47Z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00BFD648362A4A508214BA3EF1970D1B_11</vt:lpwstr>
  </property>
</Properties>
</file>